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DB" w:rsidRPr="00DD567C" w:rsidRDefault="00CC44DB" w:rsidP="00CC44DB">
      <w:pPr>
        <w:pStyle w:val="HTML"/>
        <w:jc w:val="right"/>
        <w:rPr>
          <w:rFonts w:ascii="Times New Roman" w:hAnsi="Times New Roman"/>
          <w:sz w:val="28"/>
          <w:szCs w:val="28"/>
          <w:lang w:val="uk-UA"/>
        </w:rPr>
      </w:pPr>
      <w:r w:rsidRPr="00DD567C">
        <w:rPr>
          <w:rFonts w:ascii="Times New Roman" w:hAnsi="Times New Roman"/>
          <w:sz w:val="28"/>
          <w:szCs w:val="28"/>
          <w:lang w:val="uk-UA"/>
        </w:rPr>
        <w:t>Додаток 3.</w:t>
      </w:r>
    </w:p>
    <w:p w:rsidR="00CC44DB" w:rsidRPr="00DD2AC7" w:rsidRDefault="00CC44DB" w:rsidP="00CC44DB">
      <w:pPr>
        <w:jc w:val="both"/>
        <w:rPr>
          <w:lang w:val="uk-UA"/>
        </w:rPr>
      </w:pPr>
    </w:p>
    <w:p w:rsidR="00CC44DB" w:rsidRPr="005512AA" w:rsidRDefault="00CC44DB" w:rsidP="00CC44DB">
      <w:pPr>
        <w:ind w:firstLine="5940"/>
        <w:jc w:val="both"/>
        <w:rPr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ЗАТВЕРДЖЕНО</w:t>
      </w:r>
    </w:p>
    <w:p w:rsidR="00CC44DB" w:rsidRPr="005512AA" w:rsidRDefault="00CC44DB" w:rsidP="00CC44DB">
      <w:pPr>
        <w:numPr>
          <w:ilvl w:val="12"/>
          <w:numId w:val="0"/>
        </w:numPr>
        <w:jc w:val="right"/>
        <w:rPr>
          <w:noProof/>
          <w:sz w:val="28"/>
          <w:szCs w:val="28"/>
          <w:lang w:val="uk-UA"/>
        </w:rPr>
      </w:pPr>
      <w:r w:rsidRPr="005512AA">
        <w:rPr>
          <w:noProof/>
          <w:sz w:val="28"/>
          <w:szCs w:val="28"/>
          <w:lang w:val="uk-UA"/>
        </w:rPr>
        <w:t>______________________________________</w:t>
      </w:r>
      <w:r>
        <w:rPr>
          <w:noProof/>
          <w:sz w:val="28"/>
          <w:szCs w:val="28"/>
          <w:lang w:val="uk-UA"/>
        </w:rPr>
        <w:t xml:space="preserve"> ради,</w:t>
      </w:r>
    </w:p>
    <w:p w:rsidR="00CC44DB" w:rsidRPr="005512AA" w:rsidRDefault="00CC44DB" w:rsidP="00CC44DB">
      <w:pPr>
        <w:numPr>
          <w:ilvl w:val="12"/>
          <w:numId w:val="0"/>
        </w:numPr>
        <w:ind w:firstLine="5940"/>
        <w:jc w:val="both"/>
        <w:rPr>
          <w:noProof/>
          <w:sz w:val="18"/>
          <w:szCs w:val="18"/>
          <w:lang w:val="uk-UA"/>
        </w:rPr>
      </w:pPr>
      <w:r w:rsidRPr="005512AA">
        <w:rPr>
          <w:noProof/>
          <w:sz w:val="18"/>
          <w:szCs w:val="18"/>
          <w:lang w:val="uk-UA"/>
        </w:rPr>
        <w:t>(назва сiльськоі/селищної ради)</w:t>
      </w:r>
    </w:p>
    <w:p w:rsidR="00CC44DB" w:rsidRPr="005512AA" w:rsidRDefault="00CC44DB" w:rsidP="00CC44DB">
      <w:pPr>
        <w:numPr>
          <w:ilvl w:val="12"/>
          <w:numId w:val="0"/>
        </w:numPr>
        <w:jc w:val="right"/>
        <w:rPr>
          <w:noProof/>
          <w:sz w:val="28"/>
          <w:szCs w:val="28"/>
          <w:lang w:val="uk-UA"/>
        </w:rPr>
      </w:pPr>
      <w:r w:rsidRPr="005512AA">
        <w:rPr>
          <w:noProof/>
          <w:sz w:val="28"/>
          <w:szCs w:val="28"/>
          <w:lang w:val="uk-UA"/>
        </w:rPr>
        <w:t>_________________</w:t>
      </w:r>
      <w:r>
        <w:rPr>
          <w:noProof/>
          <w:sz w:val="28"/>
          <w:szCs w:val="28"/>
          <w:lang w:val="uk-UA"/>
        </w:rPr>
        <w:t xml:space="preserve"> району,</w:t>
      </w:r>
      <w:r w:rsidRPr="005512AA">
        <w:rPr>
          <w:noProof/>
          <w:sz w:val="28"/>
          <w:szCs w:val="28"/>
          <w:lang w:val="uk-UA"/>
        </w:rPr>
        <w:t xml:space="preserve"> </w:t>
      </w:r>
      <w:r w:rsidR="00BD248B">
        <w:rPr>
          <w:noProof/>
          <w:sz w:val="28"/>
          <w:szCs w:val="28"/>
          <w:lang w:val="uk-UA"/>
        </w:rPr>
        <w:t>__________</w:t>
      </w:r>
      <w:r w:rsidRPr="005512AA">
        <w:rPr>
          <w:noProof/>
          <w:sz w:val="28"/>
          <w:szCs w:val="28"/>
          <w:lang w:val="uk-UA"/>
        </w:rPr>
        <w:t xml:space="preserve"> областi</w:t>
      </w:r>
    </w:p>
    <w:p w:rsidR="00CC44DB" w:rsidRPr="005512AA" w:rsidRDefault="00CC44DB" w:rsidP="00CC44DB">
      <w:pPr>
        <w:numPr>
          <w:ilvl w:val="12"/>
          <w:numId w:val="0"/>
        </w:numPr>
        <w:ind w:firstLine="4500"/>
        <w:jc w:val="both"/>
        <w:rPr>
          <w:noProof/>
          <w:sz w:val="18"/>
          <w:szCs w:val="18"/>
          <w:lang w:val="uk-UA"/>
        </w:rPr>
      </w:pPr>
      <w:r w:rsidRPr="005512AA">
        <w:rPr>
          <w:noProof/>
          <w:sz w:val="18"/>
          <w:szCs w:val="18"/>
          <w:lang w:val="uk-UA"/>
        </w:rPr>
        <w:t>(назва району)</w:t>
      </w:r>
    </w:p>
    <w:p w:rsidR="00CC44DB" w:rsidRPr="005512AA" w:rsidRDefault="00CC44DB" w:rsidP="00CC44DB">
      <w:pPr>
        <w:ind w:firstLine="4680"/>
        <w:jc w:val="both"/>
        <w:rPr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________ сесія __________ скликання</w:t>
      </w:r>
    </w:p>
    <w:p w:rsidR="00CC44DB" w:rsidRPr="005512AA" w:rsidRDefault="00CC44DB" w:rsidP="00CC44DB">
      <w:pPr>
        <w:ind w:firstLine="4860"/>
        <w:jc w:val="both"/>
        <w:rPr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від “___” _______________ 20__ р.</w:t>
      </w:r>
    </w:p>
    <w:p w:rsidR="00CC44DB" w:rsidRPr="00DD2AC7" w:rsidRDefault="00CC44DB" w:rsidP="00CC44DB">
      <w:pPr>
        <w:jc w:val="both"/>
        <w:rPr>
          <w:lang w:val="uk-UA"/>
        </w:rPr>
      </w:pPr>
    </w:p>
    <w:p w:rsidR="00CC44DB" w:rsidRPr="005512AA" w:rsidRDefault="00CC44DB" w:rsidP="00CC44DB">
      <w:pPr>
        <w:jc w:val="center"/>
        <w:rPr>
          <w:b/>
          <w:sz w:val="28"/>
          <w:szCs w:val="28"/>
          <w:lang w:val="uk-UA"/>
        </w:rPr>
      </w:pPr>
      <w:r w:rsidRPr="005512AA">
        <w:rPr>
          <w:b/>
          <w:sz w:val="28"/>
          <w:szCs w:val="28"/>
          <w:lang w:val="uk-UA"/>
        </w:rPr>
        <w:t>ПОЛОЖЕННЯ</w:t>
      </w:r>
    </w:p>
    <w:p w:rsidR="00CC44DB" w:rsidRPr="005512AA" w:rsidRDefault="00CC44DB" w:rsidP="00CC44DB">
      <w:pPr>
        <w:spacing w:after="120"/>
        <w:jc w:val="center"/>
        <w:rPr>
          <w:b/>
          <w:sz w:val="28"/>
          <w:szCs w:val="28"/>
          <w:lang w:val="uk-UA"/>
        </w:rPr>
      </w:pPr>
      <w:r w:rsidRPr="005512AA">
        <w:rPr>
          <w:b/>
          <w:sz w:val="28"/>
          <w:szCs w:val="28"/>
          <w:lang w:val="uk-UA"/>
        </w:rPr>
        <w:t>про громадськ</w:t>
      </w:r>
      <w:r>
        <w:rPr>
          <w:b/>
          <w:sz w:val="28"/>
          <w:szCs w:val="28"/>
          <w:lang w:val="uk-UA"/>
        </w:rPr>
        <w:t>е</w:t>
      </w:r>
      <w:r w:rsidRPr="005512AA">
        <w:rPr>
          <w:b/>
          <w:sz w:val="28"/>
          <w:szCs w:val="28"/>
          <w:lang w:val="uk-UA"/>
        </w:rPr>
        <w:t xml:space="preserve"> пасовищ</w:t>
      </w:r>
      <w:r>
        <w:rPr>
          <w:b/>
          <w:sz w:val="28"/>
          <w:szCs w:val="28"/>
          <w:lang w:val="uk-UA"/>
        </w:rPr>
        <w:t>е</w:t>
      </w:r>
    </w:p>
    <w:p w:rsidR="00CC44DB" w:rsidRPr="005512AA" w:rsidRDefault="00CC44DB" w:rsidP="00CC44DB">
      <w:pPr>
        <w:numPr>
          <w:ilvl w:val="12"/>
          <w:numId w:val="0"/>
        </w:numPr>
        <w:ind w:firstLine="540"/>
        <w:jc w:val="both"/>
        <w:rPr>
          <w:noProof/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Положення про громадськ</w:t>
      </w:r>
      <w:r>
        <w:rPr>
          <w:sz w:val="28"/>
          <w:szCs w:val="28"/>
          <w:lang w:val="uk-UA"/>
        </w:rPr>
        <w:t>е</w:t>
      </w:r>
      <w:r w:rsidRPr="005512AA">
        <w:rPr>
          <w:sz w:val="28"/>
          <w:szCs w:val="28"/>
          <w:lang w:val="uk-UA"/>
        </w:rPr>
        <w:t xml:space="preserve"> пасовищ</w:t>
      </w:r>
      <w:r>
        <w:rPr>
          <w:sz w:val="28"/>
          <w:szCs w:val="28"/>
          <w:lang w:val="uk-UA"/>
        </w:rPr>
        <w:t>е</w:t>
      </w:r>
      <w:r w:rsidRPr="005512AA">
        <w:rPr>
          <w:sz w:val="28"/>
          <w:szCs w:val="28"/>
          <w:lang w:val="uk-UA"/>
        </w:rPr>
        <w:t xml:space="preserve"> розроблено з метою забезпечення потреби територіальної громади у випасанні худоби за рахунок земель сільськогосподарського призначення державної власності не наданих у власність і користування, з метою сприяння розвитку скотарства, зокрема молочного та м’ясного поголів’я великої рогатої худоби, шляхом спільного використання пасовища власниками худоби, мешканцями територіальної громади </w:t>
      </w:r>
      <w:r w:rsidRPr="005512AA">
        <w:rPr>
          <w:noProof/>
          <w:sz w:val="28"/>
          <w:szCs w:val="28"/>
          <w:lang w:val="uk-UA"/>
        </w:rPr>
        <w:t xml:space="preserve">_____________________ ради, ________________ району, </w:t>
      </w:r>
      <w:r w:rsidR="00BD248B">
        <w:rPr>
          <w:noProof/>
          <w:sz w:val="28"/>
          <w:szCs w:val="28"/>
          <w:lang w:val="uk-UA"/>
        </w:rPr>
        <w:t>____________</w:t>
      </w:r>
      <w:bookmarkStart w:id="0" w:name="_GoBack"/>
      <w:bookmarkEnd w:id="0"/>
      <w:r w:rsidRPr="005512AA">
        <w:rPr>
          <w:noProof/>
          <w:sz w:val="28"/>
          <w:szCs w:val="28"/>
          <w:lang w:val="uk-UA"/>
        </w:rPr>
        <w:t>області,</w:t>
      </w:r>
    </w:p>
    <w:p w:rsidR="00CC44DB" w:rsidRPr="005512AA" w:rsidRDefault="00CC44DB" w:rsidP="00CC44DB">
      <w:pPr>
        <w:numPr>
          <w:ilvl w:val="12"/>
          <w:numId w:val="0"/>
        </w:numPr>
        <w:ind w:firstLine="720"/>
        <w:jc w:val="both"/>
        <w:rPr>
          <w:noProof/>
          <w:sz w:val="18"/>
          <w:szCs w:val="18"/>
          <w:lang w:val="uk-UA"/>
        </w:rPr>
      </w:pPr>
      <w:r w:rsidRPr="005512AA">
        <w:rPr>
          <w:noProof/>
          <w:sz w:val="18"/>
          <w:szCs w:val="18"/>
          <w:lang w:val="uk-UA"/>
        </w:rPr>
        <w:t>(назва ради)                                                            (назва району)</w:t>
      </w:r>
    </w:p>
    <w:p w:rsidR="00CC44DB" w:rsidRPr="005512AA" w:rsidRDefault="00CC44DB" w:rsidP="00CC44DB">
      <w:pPr>
        <w:jc w:val="both"/>
        <w:rPr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у відповідності до вимог Закону України “Про місцеве самоврядування в України”, Земельного кодексу України, Закону України “Про землеустрій”, Закону Україні “Про Державний земельний кадастр”.</w:t>
      </w:r>
    </w:p>
    <w:p w:rsidR="00CC44DB" w:rsidRPr="005512AA" w:rsidRDefault="00CC44DB" w:rsidP="00CC44DB">
      <w:pPr>
        <w:ind w:firstLine="540"/>
        <w:jc w:val="both"/>
        <w:rPr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Формування громадського пасовища відбувається за вимогою мешканців територіальної громади, які мають у власності худобу. Громадське пасовище формується за рахунок земель сільськогосподарського призначення державної власності не наданих у власність і користування з метою його спільного використання власниками худоби. Після оформлення права комунальної власності територіальної громади, пасовища використовуються для загального користування, відповідно земельний податок і орендна плата за земельні ділянки не сплачуються.</w:t>
      </w:r>
    </w:p>
    <w:p w:rsidR="00CC44DB" w:rsidRPr="005512AA" w:rsidRDefault="00CC44DB" w:rsidP="00CC44DB">
      <w:pPr>
        <w:ind w:firstLine="540"/>
        <w:jc w:val="both"/>
        <w:rPr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Перелік користувачів громадськ</w:t>
      </w:r>
      <w:r>
        <w:rPr>
          <w:sz w:val="28"/>
          <w:szCs w:val="28"/>
          <w:lang w:val="uk-UA"/>
        </w:rPr>
        <w:t>ого</w:t>
      </w:r>
      <w:r w:rsidRPr="005512AA">
        <w:rPr>
          <w:sz w:val="28"/>
          <w:szCs w:val="28"/>
          <w:lang w:val="uk-UA"/>
        </w:rPr>
        <w:t xml:space="preserve"> пасовищ</w:t>
      </w:r>
      <w:r>
        <w:rPr>
          <w:sz w:val="28"/>
          <w:szCs w:val="28"/>
          <w:lang w:val="uk-UA"/>
        </w:rPr>
        <w:t>а</w:t>
      </w:r>
      <w:r w:rsidRPr="005512AA">
        <w:rPr>
          <w:sz w:val="28"/>
          <w:szCs w:val="28"/>
          <w:lang w:val="uk-UA"/>
        </w:rPr>
        <w:t xml:space="preserve"> визначається щорічно, на загальних зборах мешканців територіальної громади із внесенням відповідних змін у разі виникнення потреби, згідно поданих особистих заяв на ім’я голови місцевої ради.</w:t>
      </w:r>
    </w:p>
    <w:p w:rsidR="00CC44DB" w:rsidRPr="005512AA" w:rsidRDefault="00CC44DB" w:rsidP="00CC44DB">
      <w:pPr>
        <w:ind w:firstLine="540"/>
        <w:jc w:val="both"/>
        <w:rPr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На загальних зборах мешканців територіальної громади визначається сума і терміни оплати за користування громадським пасовищ</w:t>
      </w:r>
      <w:r>
        <w:rPr>
          <w:sz w:val="28"/>
          <w:szCs w:val="28"/>
          <w:lang w:val="uk-UA"/>
        </w:rPr>
        <w:t>е</w:t>
      </w:r>
      <w:r w:rsidRPr="005512AA">
        <w:rPr>
          <w:sz w:val="28"/>
          <w:szCs w:val="28"/>
          <w:lang w:val="uk-UA"/>
        </w:rPr>
        <w:t>м, інші питання щодо організації та використання пасовища, які оформлюються відповідним протоколом та затверджуються виконкомом місцевої ради. Оплата за випасання худоби здійснюється безпосередньо кожним користувачем на рахунок спеціального фонду ради.</w:t>
      </w:r>
    </w:p>
    <w:p w:rsidR="00CC44DB" w:rsidRDefault="00CC44DB" w:rsidP="00CC44DB">
      <w:pPr>
        <w:ind w:firstLine="540"/>
        <w:jc w:val="both"/>
        <w:rPr>
          <w:sz w:val="28"/>
          <w:szCs w:val="28"/>
          <w:lang w:val="uk-UA"/>
        </w:rPr>
      </w:pPr>
      <w:r w:rsidRPr="005512AA">
        <w:rPr>
          <w:sz w:val="28"/>
          <w:szCs w:val="28"/>
          <w:lang w:val="uk-UA"/>
        </w:rPr>
        <w:t>За рахунок коштів спеціального фонду, коштів користувачів, інвесторів, благодійних внесків тощо, в рамках чинного законодавства, рада має право вирішувати питання внутрігосподарського землеустрою громадськ</w:t>
      </w:r>
      <w:r>
        <w:rPr>
          <w:sz w:val="28"/>
          <w:szCs w:val="28"/>
          <w:lang w:val="uk-UA"/>
        </w:rPr>
        <w:t>ого</w:t>
      </w:r>
      <w:r w:rsidRPr="005512AA">
        <w:rPr>
          <w:sz w:val="28"/>
          <w:szCs w:val="28"/>
          <w:lang w:val="uk-UA"/>
        </w:rPr>
        <w:t xml:space="preserve"> пасовищ</w:t>
      </w:r>
      <w:r>
        <w:rPr>
          <w:sz w:val="28"/>
          <w:szCs w:val="28"/>
          <w:lang w:val="uk-UA"/>
        </w:rPr>
        <w:t>а</w:t>
      </w:r>
      <w:r w:rsidRPr="005512AA">
        <w:rPr>
          <w:sz w:val="28"/>
          <w:szCs w:val="28"/>
          <w:lang w:val="uk-UA"/>
        </w:rPr>
        <w:t xml:space="preserve">, проведення заходів з відновлення трав’яного покриву, підвищення родючості ґрунтів, забезпечення тварин потребою у водопої, солі, побудови </w:t>
      </w:r>
      <w:proofErr w:type="spellStart"/>
      <w:r w:rsidRPr="005512AA">
        <w:rPr>
          <w:sz w:val="28"/>
          <w:szCs w:val="28"/>
          <w:lang w:val="uk-UA"/>
        </w:rPr>
        <w:t>твариномогильника</w:t>
      </w:r>
      <w:proofErr w:type="spellEnd"/>
      <w:r w:rsidRPr="005512AA">
        <w:rPr>
          <w:sz w:val="28"/>
          <w:szCs w:val="28"/>
          <w:lang w:val="uk-UA"/>
        </w:rPr>
        <w:t xml:space="preserve"> та інші питання.</w:t>
      </w:r>
    </w:p>
    <w:p w:rsidR="00E64470" w:rsidRPr="00CC44DB" w:rsidRDefault="00CC44DB" w:rsidP="00CC44DB">
      <w:pPr>
        <w:rPr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E64470" w:rsidRPr="00CC4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39"/>
    <w:rsid w:val="00812E39"/>
    <w:rsid w:val="00BD248B"/>
    <w:rsid w:val="00CC44DB"/>
    <w:rsid w:val="00E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1EC68-F433-477B-96C8-08C15213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C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</w:rPr>
  </w:style>
  <w:style w:type="character" w:customStyle="1" w:styleId="HTML0">
    <w:name w:val="Стандартний HTML Знак"/>
    <w:basedOn w:val="a0"/>
    <w:link w:val="HTML"/>
    <w:rsid w:val="00CC44DB"/>
    <w:rPr>
      <w:rFonts w:ascii="Courier New" w:eastAsia="Times New Roman" w:hAnsi="Courier New" w:cs="Times New Roman"/>
      <w:color w:val="000000"/>
      <w:sz w:val="21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1636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lalymenko</dc:creator>
  <cp:keywords/>
  <dc:description/>
  <cp:lastModifiedBy>lalymenko</cp:lastModifiedBy>
  <cp:revision>3</cp:revision>
  <dcterms:created xsi:type="dcterms:W3CDTF">2018-04-02T11:51:00Z</dcterms:created>
  <dcterms:modified xsi:type="dcterms:W3CDTF">2018-04-02T12:26:00Z</dcterms:modified>
</cp:coreProperties>
</file>